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220" w:after="0" w:line="240" w:lineRule="auto"/>
        <w:ind w:left="0" w:right="0" w:firstLine="0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三河市科学技术和工业信息化局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220" w:after="0" w:line="240" w:lineRule="auto"/>
        <w:ind w:left="0" w:right="0" w:firstLine="0"/>
        <w:jc w:val="center"/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绩效自评报告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一、绩效自评工作组织开展情况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22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（一）前期准备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根据三河市财政局《关于做好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2022年度市本级预算项目绩效自评工作的通知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》（三财监绩【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）文件的要求，我局领导高度重视，成立了由副局长刘保泽任组长、各业务科室负责人任组员的绩效评价工作小组，对本单位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2022年度预算项目执行情况开展绩效自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评。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（二）组织实施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评估小组将财务数据与相关制度进行核对，对涉及项目从前期手续的完整性、绩效目标合理性、资金到位率、业务管理及财务管理制度建全性、制度执行有效性、项目预期完成率等多方面实施了评价。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二、绩效目标实现情况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en-US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en-US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资金投入情况</w:t>
      </w:r>
      <w:bookmarkStart w:id="0" w:name="bookmark0"/>
      <w:bookmarkEnd w:id="0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yellow"/>
        </w:rPr>
      </w:pPr>
      <w:bookmarkStart w:id="1" w:name="bookmark1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</w:rPr>
        <w:t>项目资金执行情况：评价项目中专项公用项目资金共支出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237.21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</w:rPr>
        <w:t>万元，主要用于解决历史遗留问题、科技宣传及调研和劳务派遣人员经费等，专项项目资金共支出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7393.2267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</w:rPr>
        <w:t>万元，主要用于鼓励科技创新、扶持重点企业振兴特色产业、对新增规模以上工业企业一次性奖励资金，为企业降低成本、增加企业竞争力和社会服务能力，推动经济结构调整和产业转型升级，资金使用符合项目内容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bookmarkStart w:id="2" w:name="bookmark2"/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项目资金管理情况：严格按照专项资金使用方向和要求, 制定资金相关制度及使用管理办法，资金的拨付有完整的审批程序和手续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，不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存在截留、挤占、挪用、虚列支出等情况，严格按照项 目计划安排和实际工作情况列支，做到专款专用，保障会计核算准确、财务资料完整。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二）总体绩效目标完成情况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通过专项项目开展实施，发挥财政资金引导作用，解决本系统破产关闭企业的遗留问题，对职工的合理诉求予以解决；推动科技型中小企业技术创新能力不断增强；引导实体经济提高创新能力和质量优势；</w:t>
      </w:r>
      <w:r>
        <w:rPr>
          <w:rFonts w:hint="eastAsia" w:ascii="Times New Roman" w:hAnsi="Times New Roman" w:eastAsia="仿宋_GB2312" w:cs="Times New Roman"/>
        </w:rPr>
        <w:t>支持产业链上下游产品的相互配套，节约采购运输成本，促进域内企业联动发展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有助于扶持企业规模化发展，加强企业质量管理，推动经济结构调整和产业转型升级，使规模以上工业企业进一步做大做强。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（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三）绩效指标完成情况分析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依据评估小组自评，本级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个项目在前期手续完整性、资金到位率、资金到位及时性、业务管理制度建全性、财务管理制度建全性、 制度执行有效性、资金使用合规性等方面评估结果均为优。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预期绩效目标完成方面，鼓励科技创新奖励资金、科技宣传及调研培训经费等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个项目，与年初设定的绩效目标（产出指标、效益指标、满意度指标）基本一致，完成预期绩效目标。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档案业务经费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项目预算额度被收回，未安排档案业务材料购置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,因此与年初指标设置出入较大，导致分数差距较大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三、目标设定质量情况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通过项目绩效自评，对比倒查年初绩效目标，本次自评项目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个项目绩效目标设定清晰准确，绩效指标全面完整、科学合理。绩效产出指标恰当适宜、得以量化、易于评价，绩效效益指标以社会效益指标为主，其他指标设置较少，指标设置需要更加全面。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四、综合评价结论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根据绩效评价体系，绩效评分满分为100分，评价结果分为优、良、中、差四个等级。其中：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90（含）-100分为优、80（含）-90分为良、60（含）-80分为中、60分以下为差。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本次自评的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个项目中，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36个项目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评估结果为优，评优率为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97.3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%，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val="en-US" w:eastAsia="zh-CN"/>
        </w:rPr>
        <w:t>1个项目评价结果为中，评中率为2.7%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。</w:t>
      </w:r>
      <w:bookmarkStart w:id="6" w:name="_GoBack"/>
      <w:bookmarkEnd w:id="6"/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</w:pPr>
      <w:bookmarkStart w:id="5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五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highlight w:val="none"/>
          <w:lang w:eastAsia="zh-CN"/>
        </w:rPr>
        <w:t>、整改措施及结果应用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改进措施：合理设定专项项目绩效目标；加强对项目工作的全面领导，便于及时发现项目运行过程中出现的问题并加以改进；建立建全财务监督机制，定期对资金使用情况进行检查、监督，加强对企业奖励资金用途的后续监督，以更好发挥专项资金用途，达到预期的绩效目标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91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高度重视绩效评价结果的应用工作，积极探索和建立一套与预算管理相结合，多渠道应用评价结果的有效机制，着力提高绩效意识和财政资金使用效益。同时，将本级预算项目绩效目标自评报告进行公 开，广泛接受社会监督。在今后的工作中，我们将会把绩效自评结果作为以后年度专项预算申请、安排、分配的重要依据，根据绩效自评结果，进一步加大项目执行的督促检查工作。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260" w:line="625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5" w:lineRule="exact"/>
        <w:ind w:left="0" w:leftChars="0" w:right="0" w:firstLine="510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三河市科学技术和工业信息化局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5" w:lineRule="exact"/>
        <w:ind w:left="0" w:right="0" w:firstLine="6300" w:firstLineChars="21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日</w:t>
      </w:r>
    </w:p>
    <w:sectPr>
      <w:footerReference r:id="rId5" w:type="default"/>
      <w:footnotePr>
        <w:numFmt w:val="decimal"/>
      </w:footnotePr>
      <w:pgSz w:w="11900" w:h="16840"/>
      <w:pgMar w:top="623" w:right="1111" w:bottom="1618" w:left="1113" w:header="195" w:footer="3" w:gutter="0"/>
      <w:pgNumType w:start="2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DBlMGIzMzNiN2I1OTYyZmI3NTc1ZDQ3OGNlYTJmYmIifQ=="/>
  </w:docVars>
  <w:rsids>
    <w:rsidRoot w:val="00000000"/>
    <w:rsid w:val="1E933BB9"/>
    <w:rsid w:val="280B47C0"/>
    <w:rsid w:val="2C4B5A81"/>
    <w:rsid w:val="31BC53A4"/>
    <w:rsid w:val="387047A9"/>
    <w:rsid w:val="56812413"/>
    <w:rsid w:val="56F42740"/>
    <w:rsid w:val="5C8F2FD4"/>
    <w:rsid w:val="5D9F0FBB"/>
    <w:rsid w:val="644303BB"/>
    <w:rsid w:val="646A3ECE"/>
    <w:rsid w:val="69F16143"/>
    <w:rsid w:val="795230AB"/>
    <w:rsid w:val="7A1A14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1550</Words>
  <Characters>1599</Characters>
  <TotalTime>10</TotalTime>
  <ScaleCrop>false</ScaleCrop>
  <LinksUpToDate>false</LinksUpToDate>
  <CharactersWithSpaces>1603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2022-05-25T06:18:00Z</dcterms:created>
  <dc:creator>Administrator</dc:creator>
  <cp:lastModifiedBy>Administrator</cp:lastModifiedBy>
  <cp:lastPrinted>2023-03-23T09:12:00Z</cp:lastPrinted>
  <dcterms:modified xsi:type="dcterms:W3CDTF">2023-12-26T08:54:58Z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556FC834A92E44D4AE6F7C3B932FB4FE_13</vt:lpwstr>
  </property>
</Properties>
</file>